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DD" w:rsidRPr="00E67EDD" w:rsidRDefault="00E67EDD" w:rsidP="00E67EDD">
      <w:pPr>
        <w:rPr>
          <w:u w:val="single"/>
          <w:lang w:val="en-US"/>
        </w:rPr>
      </w:pPr>
      <w:r w:rsidRPr="00E67EDD">
        <w:rPr>
          <w:u w:val="single"/>
          <w:lang w:val="en-US"/>
        </w:rPr>
        <w:t>Conclusion:</w:t>
      </w:r>
      <w:r w:rsidR="00033DE4">
        <w:rPr>
          <w:u w:val="single"/>
          <w:lang w:val="en-US"/>
        </w:rPr>
        <w:t xml:space="preserve"> Case 1</w:t>
      </w:r>
      <w:r w:rsidR="00A44285">
        <w:rPr>
          <w:u w:val="single"/>
          <w:lang w:val="en-US"/>
        </w:rPr>
        <w:t xml:space="preserve"> (See full case below)</w:t>
      </w:r>
    </w:p>
    <w:p w:rsidR="00E67EDD" w:rsidRPr="00E67EDD" w:rsidRDefault="00E67EDD" w:rsidP="00E67EDD">
      <w:pPr>
        <w:rPr>
          <w:lang w:val="en-US"/>
        </w:rPr>
      </w:pPr>
      <w:r w:rsidRPr="00E67EDD">
        <w:rPr>
          <w:lang w:val="en-US"/>
        </w:rPr>
        <w:t xml:space="preserve">Aseptic meningitis secondary to </w:t>
      </w:r>
      <w:proofErr w:type="spellStart"/>
      <w:r w:rsidRPr="00E67EDD">
        <w:rPr>
          <w:lang w:val="en-US"/>
        </w:rPr>
        <w:t>Privigen</w:t>
      </w:r>
      <w:proofErr w:type="spellEnd"/>
      <w:r w:rsidRPr="00E67EDD">
        <w:rPr>
          <w:lang w:val="en-US"/>
        </w:rPr>
        <w:t xml:space="preserve">. </w:t>
      </w:r>
    </w:p>
    <w:p w:rsidR="00E67EDD" w:rsidRDefault="00E67EDD" w:rsidP="00E67EDD">
      <w:pPr>
        <w:rPr>
          <w:lang w:val="en-US"/>
        </w:rPr>
      </w:pPr>
      <w:r w:rsidRPr="00E67EDD">
        <w:rPr>
          <w:lang w:val="en-US"/>
        </w:rPr>
        <w:t xml:space="preserve">This patient had more than one episode of aseptic meningitis to different brands of IVIG no matter the dose, the infusion rate or the presence or absence of premedication. </w:t>
      </w:r>
    </w:p>
    <w:p w:rsidR="00E67EDD" w:rsidRDefault="00E67EDD" w:rsidP="00E67EDD">
      <w:pPr>
        <w:rPr>
          <w:lang w:val="en-US"/>
        </w:rPr>
      </w:pPr>
    </w:p>
    <w:p w:rsidR="00E67EDD" w:rsidRPr="00A44285" w:rsidRDefault="00E67EDD" w:rsidP="00E67EDD">
      <w:pPr>
        <w:pStyle w:val="ListParagraph"/>
        <w:numPr>
          <w:ilvl w:val="0"/>
          <w:numId w:val="2"/>
        </w:numPr>
        <w:rPr>
          <w:b/>
          <w:sz w:val="28"/>
          <w:szCs w:val="28"/>
        </w:rPr>
      </w:pPr>
      <w:r w:rsidRPr="00A44285">
        <w:rPr>
          <w:b/>
          <w:sz w:val="28"/>
          <w:szCs w:val="28"/>
        </w:rPr>
        <w:t xml:space="preserve">What symptoms was it that made you lean toward aseptic meningitis rather than </w:t>
      </w:r>
      <w:proofErr w:type="spellStart"/>
      <w:r w:rsidRPr="00A44285">
        <w:rPr>
          <w:b/>
          <w:sz w:val="28"/>
          <w:szCs w:val="28"/>
        </w:rPr>
        <w:t>IVIg</w:t>
      </w:r>
      <w:proofErr w:type="spellEnd"/>
      <w:r w:rsidRPr="00A44285">
        <w:rPr>
          <w:b/>
          <w:sz w:val="28"/>
          <w:szCs w:val="28"/>
        </w:rPr>
        <w:t xml:space="preserve"> related headache? </w:t>
      </w:r>
    </w:p>
    <w:p w:rsidR="00E67EDD" w:rsidRDefault="00E67EDD" w:rsidP="00E67EDD">
      <w:r>
        <w:t xml:space="preserve">A diagnosis of </w:t>
      </w:r>
      <w:proofErr w:type="spellStart"/>
      <w:r>
        <w:t>IVIg</w:t>
      </w:r>
      <w:proofErr w:type="spellEnd"/>
      <w:r>
        <w:t xml:space="preserve"> related aseptic meningitis was favored over headache as this patient did not present isolated headache but also had signs and symptoms related to meningeal irritation such as neck stiffness as well as nausea and vomiting. Of note, other symptoms that can potentially be associated to aseptic meningitis include </w:t>
      </w:r>
      <w:r w:rsidRPr="00431A73">
        <w:t>deterioration in mental status</w:t>
      </w:r>
      <w:r>
        <w:t xml:space="preserve">, </w:t>
      </w:r>
      <w:r w:rsidRPr="00431A73">
        <w:t>fever, pharyngitis, photophobia, and/or diarrhea</w:t>
      </w:r>
      <w:r>
        <w:t>.</w:t>
      </w:r>
      <w:r w:rsidRPr="00431A73">
        <w:t xml:space="preserve"> </w:t>
      </w:r>
    </w:p>
    <w:p w:rsidR="00E67EDD" w:rsidRDefault="00E67EDD" w:rsidP="00E67EDD">
      <w:r>
        <w:t xml:space="preserve">A lumbar puncture can be performed in some patients to confirm the diagnosis and, more importantly, to exclude other causes of meningitis such as viral or bacterial infection if this is part of the differential diagnosis. The analysis of the cerebrospinal fluid would show </w:t>
      </w:r>
      <w:proofErr w:type="spellStart"/>
      <w:r w:rsidRPr="00BB06E3">
        <w:t>pleocytosis</w:t>
      </w:r>
      <w:proofErr w:type="spellEnd"/>
      <w:r>
        <w:t>, mildly to moderately elevated protein with normal glucose concentration and no organism. However, lumbar puncture analysis is not mandatory to confirm the diagnosis of aseptic meningitis. In case of severe thrombocytopenia (for example when IVIG is used to treat severe ITP), b</w:t>
      </w:r>
      <w:r w:rsidRPr="00BB06E3">
        <w:t>rain imaging is required to rule out intracranial bleeding</w:t>
      </w:r>
      <w:r>
        <w:t xml:space="preserve"> which can present with the same signs and symptoms.</w:t>
      </w:r>
    </w:p>
    <w:p w:rsidR="00E67EDD" w:rsidRDefault="00E67EDD" w:rsidP="00E67EDD">
      <w:r w:rsidRPr="00A44285">
        <w:rPr>
          <w:b/>
          <w:sz w:val="28"/>
          <w:szCs w:val="28"/>
        </w:rPr>
        <w:t xml:space="preserve">2.       Would the treatment be the same for both </w:t>
      </w:r>
      <w:proofErr w:type="spellStart"/>
      <w:r w:rsidRPr="00A44285">
        <w:rPr>
          <w:b/>
          <w:sz w:val="28"/>
          <w:szCs w:val="28"/>
        </w:rPr>
        <w:t>IVIg</w:t>
      </w:r>
      <w:proofErr w:type="spellEnd"/>
      <w:r w:rsidRPr="00A44285">
        <w:rPr>
          <w:b/>
          <w:sz w:val="28"/>
          <w:szCs w:val="28"/>
        </w:rPr>
        <w:t xml:space="preserve"> related headache and aseptic meningitis</w:t>
      </w:r>
      <w:r>
        <w:t>?</w:t>
      </w:r>
    </w:p>
    <w:p w:rsidR="00E67EDD" w:rsidRDefault="00E67EDD" w:rsidP="00E67EDD">
      <w:r>
        <w:t xml:space="preserve">Both </w:t>
      </w:r>
      <w:proofErr w:type="spellStart"/>
      <w:r>
        <w:t>IVIg</w:t>
      </w:r>
      <w:proofErr w:type="spellEnd"/>
      <w:r>
        <w:t xml:space="preserve"> related headache and aseptic meningitis are transient self-limiting conditions with spontaneous improvement within a few days and are treated with supportive measures only. P</w:t>
      </w:r>
      <w:r w:rsidRPr="00BB06E3">
        <w:t>roper hydration, antihistamines</w:t>
      </w:r>
      <w:r>
        <w:t xml:space="preserve">, analgesics, slow infusion and lower doses can help preventing the occurrence of this adverse event. </w:t>
      </w:r>
    </w:p>
    <w:p w:rsidR="00E67EDD" w:rsidRPr="00E67EDD" w:rsidRDefault="00E67EDD" w:rsidP="00E67EDD">
      <w:pPr>
        <w:rPr>
          <w:lang w:val="en-US"/>
        </w:rPr>
      </w:pPr>
    </w:p>
    <w:p w:rsidR="00E67EDD" w:rsidRPr="00E67EDD" w:rsidRDefault="00E67EDD" w:rsidP="00E67EDD">
      <w:pPr>
        <w:rPr>
          <w:u w:val="single"/>
          <w:lang w:val="en-US"/>
        </w:rPr>
      </w:pPr>
      <w:r w:rsidRPr="00E67EDD">
        <w:rPr>
          <w:u w:val="single"/>
          <w:lang w:val="en-US"/>
        </w:rPr>
        <w:t>Relationship of adverse event to transfusion:</w:t>
      </w:r>
    </w:p>
    <w:p w:rsidR="00E67EDD" w:rsidRPr="00E67EDD" w:rsidRDefault="00E67EDD" w:rsidP="00E67EDD">
      <w:pPr>
        <w:rPr>
          <w:lang w:val="en-US"/>
        </w:rPr>
      </w:pPr>
      <w:r w:rsidRPr="00E67EDD">
        <w:rPr>
          <w:lang w:val="en-US"/>
        </w:rPr>
        <w:t>Possible</w:t>
      </w:r>
    </w:p>
    <w:p w:rsidR="00E67EDD" w:rsidRPr="00E67EDD" w:rsidRDefault="00E67EDD" w:rsidP="00E67EDD">
      <w:pPr>
        <w:rPr>
          <w:u w:val="single"/>
          <w:lang w:val="en-US"/>
        </w:rPr>
      </w:pPr>
      <w:r w:rsidRPr="00E67EDD">
        <w:rPr>
          <w:u w:val="single"/>
          <w:lang w:val="en-US"/>
        </w:rPr>
        <w:t>Severity of adverse event:</w:t>
      </w:r>
    </w:p>
    <w:p w:rsidR="00E67EDD" w:rsidRDefault="00E67EDD" w:rsidP="00E67EDD">
      <w:pPr>
        <w:rPr>
          <w:lang w:val="en-US"/>
        </w:rPr>
      </w:pPr>
      <w:r>
        <w:rPr>
          <w:lang w:val="en-US"/>
        </w:rPr>
        <w:t>Grade 2 (severe)</w:t>
      </w:r>
    </w:p>
    <w:p w:rsidR="00E67EDD" w:rsidRPr="00E67EDD" w:rsidRDefault="00E67EDD" w:rsidP="00E67EDD">
      <w:pPr>
        <w:rPr>
          <w:lang w:val="en-US"/>
        </w:rPr>
      </w:pPr>
      <w:r w:rsidRPr="00E67EDD">
        <w:rPr>
          <w:u w:val="single"/>
          <w:lang w:val="en-US"/>
        </w:rPr>
        <w:t xml:space="preserve">Outcome of adverse event: </w:t>
      </w:r>
    </w:p>
    <w:p w:rsidR="00E67EDD" w:rsidRPr="00E67EDD" w:rsidRDefault="00E67EDD" w:rsidP="00E67EDD">
      <w:pPr>
        <w:rPr>
          <w:lang w:val="en-US"/>
        </w:rPr>
      </w:pPr>
      <w:r w:rsidRPr="00E67EDD">
        <w:rPr>
          <w:lang w:val="en-US"/>
        </w:rPr>
        <w:t>Minor or no sequelae</w:t>
      </w:r>
    </w:p>
    <w:p w:rsidR="00E67EDD" w:rsidRPr="00E67EDD" w:rsidRDefault="00E67EDD" w:rsidP="00E67EDD">
      <w:pPr>
        <w:rPr>
          <w:u w:val="single"/>
          <w:lang w:val="en-US"/>
        </w:rPr>
      </w:pPr>
      <w:r w:rsidRPr="00E67EDD">
        <w:rPr>
          <w:u w:val="single"/>
          <w:lang w:val="en-US"/>
        </w:rPr>
        <w:t>Recommendations:</w:t>
      </w:r>
    </w:p>
    <w:p w:rsidR="00E67EDD" w:rsidRPr="00E67EDD" w:rsidRDefault="00E67EDD" w:rsidP="00E67EDD">
      <w:pPr>
        <w:rPr>
          <w:lang w:val="en-US"/>
        </w:rPr>
      </w:pPr>
      <w:r w:rsidRPr="00E67EDD">
        <w:rPr>
          <w:lang w:val="en-US"/>
        </w:rPr>
        <w:t xml:space="preserve">Consider giving SCIG instead of IVIG as the patient reacted to more than one brand. </w:t>
      </w:r>
    </w:p>
    <w:p w:rsidR="00E67EDD" w:rsidRPr="00E67EDD" w:rsidRDefault="00E67EDD" w:rsidP="00E67EDD">
      <w:pPr>
        <w:rPr>
          <w:u w:val="single"/>
          <w:lang w:val="en-US"/>
        </w:rPr>
      </w:pPr>
      <w:r w:rsidRPr="00E67EDD">
        <w:rPr>
          <w:u w:val="single"/>
          <w:lang w:val="en-US"/>
        </w:rPr>
        <w:lastRenderedPageBreak/>
        <w:t>Take home message:</w:t>
      </w:r>
    </w:p>
    <w:p w:rsidR="00E67EDD" w:rsidRDefault="00E67EDD" w:rsidP="00E67EDD">
      <w:pPr>
        <w:rPr>
          <w:lang w:val="en-US"/>
        </w:rPr>
      </w:pPr>
      <w:r w:rsidRPr="00E67EDD">
        <w:rPr>
          <w:lang w:val="en-US"/>
        </w:rPr>
        <w:t xml:space="preserve">Communication of transfusion reactions to the Blood Bank is important as it can help to tailor the most appropriate treatment even though the patient still reacted the third time in this case. </w:t>
      </w:r>
    </w:p>
    <w:p w:rsidR="00A44285" w:rsidRDefault="00A44285" w:rsidP="00E67EDD">
      <w:pPr>
        <w:rPr>
          <w:lang w:val="en-US"/>
        </w:rPr>
      </w:pPr>
    </w:p>
    <w:p w:rsidR="00A44285" w:rsidRPr="00356F6C" w:rsidRDefault="00A44285" w:rsidP="00A44285">
      <w:pPr>
        <w:spacing w:after="0"/>
        <w:rPr>
          <w:rFonts w:ascii="Arial" w:hAnsi="Arial" w:cs="Arial"/>
          <w:b/>
          <w:sz w:val="20"/>
          <w:szCs w:val="20"/>
        </w:rPr>
      </w:pPr>
      <w:r w:rsidRPr="00356F6C">
        <w:rPr>
          <w:b/>
        </w:rPr>
        <w:t xml:space="preserve">This is a 16-year-old boy  </w:t>
      </w:r>
    </w:p>
    <w:p w:rsidR="00A44285" w:rsidRDefault="00A44285" w:rsidP="00A44285">
      <w:pPr>
        <w:spacing w:after="0"/>
        <w:rPr>
          <w:rFonts w:ascii="Arial" w:hAnsi="Arial" w:cs="Arial"/>
          <w:b/>
          <w:sz w:val="20"/>
          <w:szCs w:val="20"/>
        </w:rPr>
      </w:pPr>
    </w:p>
    <w:p w:rsidR="00A44285" w:rsidRDefault="00A44285" w:rsidP="00A44285">
      <w:pPr>
        <w:spacing w:after="0"/>
        <w:rPr>
          <w:rFonts w:ascii="Arial" w:hAnsi="Arial" w:cs="Arial"/>
          <w:sz w:val="20"/>
          <w:szCs w:val="20"/>
        </w:rPr>
      </w:pPr>
      <w:r w:rsidRPr="00E018F6">
        <w:rPr>
          <w:rFonts w:ascii="Arial" w:hAnsi="Arial" w:cs="Arial"/>
          <w:b/>
          <w:sz w:val="20"/>
          <w:szCs w:val="20"/>
        </w:rPr>
        <w:t>Admission:</w:t>
      </w:r>
      <w:r>
        <w:rPr>
          <w:rFonts w:ascii="Arial" w:hAnsi="Arial" w:cs="Arial"/>
          <w:sz w:val="20"/>
          <w:szCs w:val="20"/>
        </w:rPr>
        <w:t xml:space="preserve"> </w:t>
      </w:r>
      <w:r>
        <w:t xml:space="preserve">IVIG replacement for </w:t>
      </w:r>
      <w:proofErr w:type="spellStart"/>
      <w:r>
        <w:t>hypogammaglobulinemia</w:t>
      </w:r>
      <w:proofErr w:type="spellEnd"/>
      <w:r>
        <w:t xml:space="preserve"> for prevention of infection in medical daycare</w:t>
      </w:r>
    </w:p>
    <w:p w:rsidR="00A44285" w:rsidRDefault="00A44285" w:rsidP="00A44285">
      <w:pPr>
        <w:spacing w:after="0"/>
        <w:rPr>
          <w:rFonts w:ascii="Arial" w:hAnsi="Arial" w:cs="Arial"/>
          <w:b/>
          <w:sz w:val="20"/>
          <w:szCs w:val="20"/>
        </w:rPr>
      </w:pPr>
    </w:p>
    <w:p w:rsidR="00A44285" w:rsidRDefault="00A44285" w:rsidP="00A44285">
      <w:pPr>
        <w:spacing w:after="0"/>
        <w:rPr>
          <w:rFonts w:ascii="Arial" w:hAnsi="Arial" w:cs="Arial"/>
          <w:b/>
          <w:sz w:val="20"/>
          <w:szCs w:val="20"/>
        </w:rPr>
      </w:pPr>
      <w:r>
        <w:rPr>
          <w:rFonts w:ascii="Arial" w:hAnsi="Arial" w:cs="Arial"/>
          <w:b/>
          <w:sz w:val="20"/>
          <w:szCs w:val="20"/>
        </w:rPr>
        <w:t>Past medical history:</w:t>
      </w:r>
      <w:r w:rsidRPr="00E018F6">
        <w:rPr>
          <w:rFonts w:ascii="Arial" w:hAnsi="Arial" w:cs="Arial"/>
          <w:b/>
          <w:sz w:val="20"/>
          <w:szCs w:val="20"/>
        </w:rPr>
        <w:t xml:space="preserve"> </w:t>
      </w:r>
    </w:p>
    <w:p w:rsidR="00A44285" w:rsidRDefault="00A44285" w:rsidP="00A44285">
      <w:pPr>
        <w:pStyle w:val="ListParagraph"/>
        <w:numPr>
          <w:ilvl w:val="0"/>
          <w:numId w:val="4"/>
        </w:numPr>
        <w:spacing w:after="0" w:line="276" w:lineRule="auto"/>
        <w:rPr>
          <w:rFonts w:ascii="Arial" w:hAnsi="Arial" w:cs="Arial"/>
          <w:sz w:val="20"/>
          <w:szCs w:val="20"/>
        </w:rPr>
      </w:pPr>
      <w:r>
        <w:rPr>
          <w:lang w:val="en-US"/>
        </w:rPr>
        <w:t xml:space="preserve">Chronic autoimmune thrombocytopenia (ITP) </w:t>
      </w:r>
      <w:r>
        <w:rPr>
          <w:rFonts w:ascii="Arial" w:hAnsi="Arial" w:cs="Arial"/>
          <w:sz w:val="20"/>
          <w:szCs w:val="20"/>
        </w:rPr>
        <w:t xml:space="preserve"> </w:t>
      </w:r>
    </w:p>
    <w:p w:rsidR="00A44285" w:rsidRPr="00FD2549" w:rsidRDefault="00A44285" w:rsidP="00A44285">
      <w:pPr>
        <w:pStyle w:val="ListParagraph"/>
        <w:numPr>
          <w:ilvl w:val="0"/>
          <w:numId w:val="4"/>
        </w:numPr>
        <w:spacing w:after="0" w:line="276" w:lineRule="auto"/>
        <w:rPr>
          <w:rFonts w:ascii="Arial" w:hAnsi="Arial" w:cs="Arial"/>
          <w:sz w:val="20"/>
          <w:szCs w:val="20"/>
        </w:rPr>
      </w:pPr>
      <w:proofErr w:type="spellStart"/>
      <w:r>
        <w:rPr>
          <w:lang w:val="en-US"/>
        </w:rPr>
        <w:t>Hypogammaglobulinemia</w:t>
      </w:r>
      <w:proofErr w:type="spellEnd"/>
    </w:p>
    <w:p w:rsidR="00A44285" w:rsidRPr="00FD2549" w:rsidRDefault="00A44285" w:rsidP="00A44285">
      <w:pPr>
        <w:pStyle w:val="ListParagraph"/>
        <w:numPr>
          <w:ilvl w:val="0"/>
          <w:numId w:val="4"/>
        </w:numPr>
        <w:spacing w:after="0" w:line="276" w:lineRule="auto"/>
        <w:rPr>
          <w:rFonts w:ascii="Arial" w:hAnsi="Arial" w:cs="Arial"/>
          <w:sz w:val="20"/>
          <w:szCs w:val="20"/>
        </w:rPr>
      </w:pPr>
    </w:p>
    <w:p w:rsidR="00A44285" w:rsidRPr="00E018F6" w:rsidRDefault="00A44285" w:rsidP="00A44285">
      <w:pPr>
        <w:spacing w:after="0"/>
        <w:rPr>
          <w:rFonts w:ascii="Arial" w:hAnsi="Arial" w:cs="Arial"/>
          <w:b/>
          <w:sz w:val="20"/>
          <w:szCs w:val="20"/>
        </w:rPr>
      </w:pPr>
      <w:r w:rsidRPr="00E018F6">
        <w:rPr>
          <w:rFonts w:ascii="Arial" w:hAnsi="Arial" w:cs="Arial"/>
          <w:b/>
          <w:sz w:val="20"/>
          <w:szCs w:val="20"/>
        </w:rPr>
        <w:t xml:space="preserve">Transfusion history: </w:t>
      </w:r>
    </w:p>
    <w:p w:rsidR="00A44285" w:rsidRDefault="00A44285" w:rsidP="00A44285">
      <w:pPr>
        <w:pStyle w:val="ListParagraph"/>
        <w:numPr>
          <w:ilvl w:val="0"/>
          <w:numId w:val="3"/>
        </w:numPr>
        <w:spacing w:after="0" w:line="276" w:lineRule="auto"/>
        <w:rPr>
          <w:rFonts w:ascii="Arial" w:hAnsi="Arial" w:cs="Arial"/>
          <w:sz w:val="20"/>
          <w:szCs w:val="20"/>
        </w:rPr>
      </w:pPr>
      <w:r>
        <w:rPr>
          <w:rFonts w:ascii="Arial" w:hAnsi="Arial" w:cs="Arial"/>
          <w:sz w:val="20"/>
          <w:szCs w:val="20"/>
        </w:rPr>
        <w:t>Blood group O+ and negative antibody screen</w:t>
      </w:r>
    </w:p>
    <w:p w:rsidR="00A44285" w:rsidRDefault="00A44285" w:rsidP="00A44285">
      <w:pPr>
        <w:pStyle w:val="ListParagraph"/>
        <w:numPr>
          <w:ilvl w:val="0"/>
          <w:numId w:val="3"/>
        </w:numPr>
        <w:spacing w:after="0" w:line="276" w:lineRule="auto"/>
        <w:rPr>
          <w:rFonts w:ascii="Arial" w:hAnsi="Arial" w:cs="Arial"/>
          <w:sz w:val="20"/>
          <w:szCs w:val="20"/>
        </w:rPr>
      </w:pPr>
      <w:r>
        <w:rPr>
          <w:rFonts w:ascii="Arial" w:hAnsi="Arial" w:cs="Arial"/>
          <w:sz w:val="20"/>
          <w:szCs w:val="20"/>
        </w:rPr>
        <w:t>Prior transfusions:</w:t>
      </w:r>
    </w:p>
    <w:p w:rsidR="00A44285" w:rsidRPr="00356F6C" w:rsidRDefault="00A44285" w:rsidP="00A44285">
      <w:pPr>
        <w:pStyle w:val="ListParagraph"/>
        <w:numPr>
          <w:ilvl w:val="1"/>
          <w:numId w:val="3"/>
        </w:numPr>
        <w:spacing w:after="0" w:line="276" w:lineRule="auto"/>
        <w:rPr>
          <w:rFonts w:ascii="Arial" w:hAnsi="Arial" w:cs="Arial"/>
          <w:sz w:val="20"/>
          <w:szCs w:val="20"/>
        </w:rPr>
      </w:pPr>
      <w:r>
        <w:rPr>
          <w:rFonts w:ascii="Arial" w:hAnsi="Arial" w:cs="Arial"/>
          <w:sz w:val="20"/>
          <w:szCs w:val="20"/>
        </w:rPr>
        <w:t xml:space="preserve"> Age 9 – 1g/kg of IVIG (</w:t>
      </w:r>
      <w:proofErr w:type="spellStart"/>
      <w:r>
        <w:rPr>
          <w:rFonts w:ascii="Arial" w:hAnsi="Arial" w:cs="Arial"/>
          <w:sz w:val="20"/>
          <w:szCs w:val="20"/>
        </w:rPr>
        <w:t>IGIVnex</w:t>
      </w:r>
      <w:proofErr w:type="spellEnd"/>
      <w:r>
        <w:rPr>
          <w:rFonts w:ascii="Arial" w:hAnsi="Arial" w:cs="Arial"/>
          <w:sz w:val="20"/>
          <w:szCs w:val="20"/>
        </w:rPr>
        <w:t xml:space="preserve">) with presentation of </w:t>
      </w:r>
      <w:proofErr w:type="spellStart"/>
      <w:r>
        <w:rPr>
          <w:rFonts w:ascii="Arial" w:hAnsi="Arial" w:cs="Arial"/>
          <w:sz w:val="20"/>
          <w:szCs w:val="20"/>
        </w:rPr>
        <w:t>automimmune</w:t>
      </w:r>
      <w:proofErr w:type="spellEnd"/>
      <w:r>
        <w:rPr>
          <w:rFonts w:ascii="Arial" w:hAnsi="Arial" w:cs="Arial"/>
          <w:sz w:val="20"/>
          <w:szCs w:val="20"/>
        </w:rPr>
        <w:t xml:space="preserve"> thrombocytopenia due a low platelet count </w:t>
      </w:r>
      <w:proofErr w:type="gramStart"/>
      <w:r>
        <w:rPr>
          <w:rFonts w:ascii="Arial" w:hAnsi="Arial" w:cs="Arial"/>
          <w:sz w:val="20"/>
          <w:szCs w:val="20"/>
        </w:rPr>
        <w:t xml:space="preserve">of </w:t>
      </w:r>
      <w:r>
        <w:rPr>
          <w:lang w:val="en-US"/>
        </w:rPr>
        <w:t xml:space="preserve"> 6</w:t>
      </w:r>
      <w:proofErr w:type="gramEnd"/>
      <w:r>
        <w:rPr>
          <w:lang w:val="en-US"/>
        </w:rPr>
        <w:t>x10</w:t>
      </w:r>
      <w:r w:rsidRPr="006F66EE">
        <w:rPr>
          <w:vertAlign w:val="superscript"/>
          <w:lang w:val="en-US"/>
        </w:rPr>
        <w:t>9</w:t>
      </w:r>
      <w:r>
        <w:rPr>
          <w:lang w:val="en-US"/>
        </w:rPr>
        <w:t>/L, petechial rash and gingival bleeding, CT scan showed no signs of intracranial hemorrhage</w:t>
      </w:r>
    </w:p>
    <w:p w:rsidR="00A44285" w:rsidRDefault="00A44285" w:rsidP="00A44285">
      <w:pPr>
        <w:pStyle w:val="ListParagraph"/>
        <w:numPr>
          <w:ilvl w:val="1"/>
          <w:numId w:val="3"/>
        </w:numPr>
        <w:spacing w:after="0" w:line="276" w:lineRule="auto"/>
        <w:rPr>
          <w:rFonts w:ascii="Arial" w:hAnsi="Arial" w:cs="Arial"/>
          <w:sz w:val="20"/>
          <w:szCs w:val="20"/>
        </w:rPr>
      </w:pPr>
      <w:r>
        <w:rPr>
          <w:lang w:val="en-US"/>
        </w:rPr>
        <w:t>Age 15 -1 g/kg of IVIG (</w:t>
      </w:r>
      <w:proofErr w:type="spellStart"/>
      <w:r>
        <w:rPr>
          <w:lang w:val="en-US"/>
        </w:rPr>
        <w:t>Gammunex</w:t>
      </w:r>
      <w:proofErr w:type="spellEnd"/>
      <w:r>
        <w:rPr>
          <w:lang w:val="en-US"/>
        </w:rPr>
        <w:t>) for a severe worsening of his thrombocytopenia with a platelet count of 6x10</w:t>
      </w:r>
      <w:r w:rsidRPr="006F66EE">
        <w:rPr>
          <w:vertAlign w:val="superscript"/>
          <w:lang w:val="en-US"/>
        </w:rPr>
        <w:t>9</w:t>
      </w:r>
      <w:r>
        <w:rPr>
          <w:lang w:val="en-US"/>
        </w:rPr>
        <w:t xml:space="preserve">/L that was not responsive to oral steroids, </w:t>
      </w:r>
    </w:p>
    <w:p w:rsidR="00A44285" w:rsidRPr="00356F6C" w:rsidRDefault="00A44285" w:rsidP="00A44285">
      <w:pPr>
        <w:pStyle w:val="ListParagraph"/>
        <w:numPr>
          <w:ilvl w:val="2"/>
          <w:numId w:val="3"/>
        </w:numPr>
        <w:spacing w:after="0" w:line="276" w:lineRule="auto"/>
        <w:rPr>
          <w:rFonts w:ascii="Arial" w:hAnsi="Arial" w:cs="Arial"/>
          <w:sz w:val="20"/>
          <w:szCs w:val="20"/>
        </w:rPr>
      </w:pPr>
      <w:r w:rsidRPr="00356F6C">
        <w:rPr>
          <w:lang w:val="en-US"/>
        </w:rPr>
        <w:t>Adverse reaction of headaches which resolved quickly</w:t>
      </w:r>
    </w:p>
    <w:p w:rsidR="00A44285" w:rsidRPr="00600FFF" w:rsidRDefault="00A44285" w:rsidP="00A44285">
      <w:pPr>
        <w:pStyle w:val="ListParagraph"/>
        <w:numPr>
          <w:ilvl w:val="2"/>
          <w:numId w:val="3"/>
        </w:numPr>
        <w:spacing w:after="0" w:line="276" w:lineRule="auto"/>
        <w:rPr>
          <w:rFonts w:ascii="Arial" w:hAnsi="Arial" w:cs="Arial"/>
          <w:sz w:val="20"/>
          <w:szCs w:val="20"/>
        </w:rPr>
      </w:pPr>
      <w:r>
        <w:rPr>
          <w:lang w:val="en-US"/>
        </w:rPr>
        <w:t>CT scan showed no signs of hemorrhage</w:t>
      </w:r>
    </w:p>
    <w:p w:rsidR="00A44285" w:rsidRPr="00600FFF" w:rsidRDefault="00A44285" w:rsidP="00A44285">
      <w:pPr>
        <w:pStyle w:val="ListParagraph"/>
        <w:spacing w:after="0"/>
        <w:ind w:left="2160"/>
        <w:rPr>
          <w:rFonts w:ascii="Arial" w:hAnsi="Arial" w:cs="Arial"/>
          <w:sz w:val="20"/>
          <w:szCs w:val="20"/>
        </w:rPr>
      </w:pPr>
    </w:p>
    <w:p w:rsidR="00A44285" w:rsidRPr="006C1D56" w:rsidRDefault="00A44285" w:rsidP="00A44285">
      <w:pPr>
        <w:spacing w:after="0"/>
        <w:rPr>
          <w:rFonts w:ascii="Arial" w:hAnsi="Arial" w:cs="Arial"/>
          <w:b/>
          <w:sz w:val="20"/>
          <w:szCs w:val="20"/>
        </w:rPr>
      </w:pPr>
      <w:r w:rsidRPr="006C1D56">
        <w:rPr>
          <w:rFonts w:ascii="Arial" w:hAnsi="Arial" w:cs="Arial"/>
          <w:b/>
          <w:sz w:val="20"/>
          <w:szCs w:val="20"/>
        </w:rPr>
        <w:t>Transfusion reaction details:</w:t>
      </w:r>
    </w:p>
    <w:p w:rsidR="00A44285" w:rsidRDefault="00A44285" w:rsidP="00A44285">
      <w:pPr>
        <w:pStyle w:val="ListParagraph"/>
        <w:numPr>
          <w:ilvl w:val="0"/>
          <w:numId w:val="3"/>
        </w:numPr>
        <w:spacing w:after="0" w:line="276" w:lineRule="auto"/>
        <w:rPr>
          <w:rFonts w:ascii="Arial" w:hAnsi="Arial" w:cs="Arial"/>
          <w:sz w:val="20"/>
          <w:szCs w:val="20"/>
        </w:rPr>
      </w:pPr>
      <w:r>
        <w:rPr>
          <w:rFonts w:ascii="Arial" w:hAnsi="Arial" w:cs="Arial"/>
          <w:sz w:val="20"/>
          <w:szCs w:val="20"/>
        </w:rPr>
        <w:t xml:space="preserve">IVIG brand </w:t>
      </w:r>
      <w:proofErr w:type="spellStart"/>
      <w:r>
        <w:rPr>
          <w:rFonts w:ascii="Arial" w:hAnsi="Arial" w:cs="Arial"/>
          <w:sz w:val="20"/>
          <w:szCs w:val="20"/>
        </w:rPr>
        <w:t>Privigen</w:t>
      </w:r>
      <w:proofErr w:type="spellEnd"/>
      <w:r>
        <w:rPr>
          <w:rFonts w:ascii="Arial" w:hAnsi="Arial" w:cs="Arial"/>
          <w:sz w:val="20"/>
          <w:szCs w:val="20"/>
        </w:rPr>
        <w:t xml:space="preserve">- 0.4g/kg, slow </w:t>
      </w:r>
      <w:proofErr w:type="spellStart"/>
      <w:proofErr w:type="gramStart"/>
      <w:r>
        <w:rPr>
          <w:rFonts w:ascii="Arial" w:hAnsi="Arial" w:cs="Arial"/>
          <w:sz w:val="20"/>
          <w:szCs w:val="20"/>
        </w:rPr>
        <w:t>infursion</w:t>
      </w:r>
      <w:proofErr w:type="spellEnd"/>
      <w:r>
        <w:rPr>
          <w:rFonts w:ascii="Arial" w:hAnsi="Arial" w:cs="Arial"/>
          <w:sz w:val="20"/>
          <w:szCs w:val="20"/>
        </w:rPr>
        <w:t xml:space="preserve">  (</w:t>
      </w:r>
      <w:proofErr w:type="gramEnd"/>
      <w:r>
        <w:rPr>
          <w:rFonts w:ascii="Arial" w:hAnsi="Arial" w:cs="Arial"/>
          <w:sz w:val="20"/>
          <w:szCs w:val="20"/>
        </w:rPr>
        <w:t>4.5 hours)</w:t>
      </w:r>
    </w:p>
    <w:p w:rsidR="00A44285" w:rsidRDefault="00A44285" w:rsidP="00A44285">
      <w:pPr>
        <w:pStyle w:val="ListParagraph"/>
        <w:numPr>
          <w:ilvl w:val="1"/>
          <w:numId w:val="3"/>
        </w:numPr>
        <w:spacing w:after="0" w:line="276" w:lineRule="auto"/>
        <w:rPr>
          <w:rFonts w:ascii="Arial" w:hAnsi="Arial" w:cs="Arial"/>
          <w:sz w:val="20"/>
          <w:szCs w:val="20"/>
        </w:rPr>
      </w:pPr>
      <w:r>
        <w:rPr>
          <w:rFonts w:ascii="Arial" w:hAnsi="Arial" w:cs="Arial"/>
          <w:sz w:val="20"/>
          <w:szCs w:val="20"/>
        </w:rPr>
        <w:t xml:space="preserve">Premedication </w:t>
      </w:r>
    </w:p>
    <w:p w:rsidR="00A44285" w:rsidRDefault="00A44285" w:rsidP="00A44285">
      <w:pPr>
        <w:pStyle w:val="ListParagraph"/>
        <w:numPr>
          <w:ilvl w:val="2"/>
          <w:numId w:val="3"/>
        </w:numPr>
        <w:spacing w:after="0" w:line="276" w:lineRule="auto"/>
        <w:rPr>
          <w:rFonts w:ascii="Arial" w:hAnsi="Arial" w:cs="Arial"/>
          <w:sz w:val="20"/>
          <w:szCs w:val="20"/>
        </w:rPr>
      </w:pPr>
      <w:r>
        <w:rPr>
          <w:rFonts w:ascii="Arial" w:hAnsi="Arial" w:cs="Arial"/>
          <w:sz w:val="20"/>
          <w:szCs w:val="20"/>
        </w:rPr>
        <w:t>500 mg acetaminophen orally</w:t>
      </w:r>
    </w:p>
    <w:p w:rsidR="00A44285" w:rsidRDefault="00A44285" w:rsidP="00A44285">
      <w:pPr>
        <w:pStyle w:val="ListParagraph"/>
        <w:numPr>
          <w:ilvl w:val="2"/>
          <w:numId w:val="3"/>
        </w:numPr>
        <w:spacing w:after="0" w:line="276" w:lineRule="auto"/>
        <w:rPr>
          <w:rFonts w:ascii="Arial" w:hAnsi="Arial" w:cs="Arial"/>
          <w:sz w:val="20"/>
          <w:szCs w:val="20"/>
        </w:rPr>
      </w:pPr>
      <w:r>
        <w:rPr>
          <w:rFonts w:ascii="Arial" w:hAnsi="Arial" w:cs="Arial"/>
          <w:sz w:val="20"/>
          <w:szCs w:val="20"/>
        </w:rPr>
        <w:t>Diphenhydramine 50 mg orally</w:t>
      </w:r>
    </w:p>
    <w:p w:rsidR="00A44285" w:rsidRDefault="00A44285" w:rsidP="00A44285">
      <w:pPr>
        <w:pStyle w:val="ListParagraph"/>
        <w:numPr>
          <w:ilvl w:val="2"/>
          <w:numId w:val="3"/>
        </w:numPr>
        <w:spacing w:after="0" w:line="276" w:lineRule="auto"/>
        <w:rPr>
          <w:rFonts w:ascii="Arial" w:hAnsi="Arial" w:cs="Arial"/>
          <w:sz w:val="20"/>
          <w:szCs w:val="20"/>
        </w:rPr>
      </w:pPr>
      <w:proofErr w:type="spellStart"/>
      <w:r>
        <w:rPr>
          <w:rFonts w:ascii="Arial" w:hAnsi="Arial" w:cs="Arial"/>
          <w:sz w:val="20"/>
          <w:szCs w:val="20"/>
        </w:rPr>
        <w:t>Hyrocotrisone</w:t>
      </w:r>
      <w:proofErr w:type="spellEnd"/>
      <w:r>
        <w:rPr>
          <w:rFonts w:ascii="Arial" w:hAnsi="Arial" w:cs="Arial"/>
          <w:sz w:val="20"/>
          <w:szCs w:val="20"/>
        </w:rPr>
        <w:t xml:space="preserve"> 100 mg IV </w:t>
      </w:r>
    </w:p>
    <w:p w:rsidR="00A44285" w:rsidRDefault="00A44285" w:rsidP="00A44285">
      <w:pPr>
        <w:pStyle w:val="ListParagraph"/>
        <w:numPr>
          <w:ilvl w:val="2"/>
          <w:numId w:val="3"/>
        </w:numPr>
        <w:spacing w:after="0" w:line="276" w:lineRule="auto"/>
        <w:rPr>
          <w:rFonts w:ascii="Arial" w:hAnsi="Arial" w:cs="Arial"/>
          <w:sz w:val="20"/>
          <w:szCs w:val="20"/>
        </w:rPr>
      </w:pPr>
      <w:r>
        <w:rPr>
          <w:rFonts w:ascii="Arial" w:hAnsi="Arial" w:cs="Arial"/>
          <w:sz w:val="20"/>
          <w:szCs w:val="20"/>
        </w:rPr>
        <w:t>Hydration</w:t>
      </w:r>
    </w:p>
    <w:p w:rsidR="00A44285" w:rsidRDefault="00A44285" w:rsidP="00A44285">
      <w:pPr>
        <w:pStyle w:val="ListParagraph"/>
        <w:numPr>
          <w:ilvl w:val="1"/>
          <w:numId w:val="3"/>
        </w:numPr>
        <w:spacing w:after="0" w:line="276" w:lineRule="auto"/>
        <w:rPr>
          <w:rFonts w:ascii="Arial" w:hAnsi="Arial" w:cs="Arial"/>
          <w:sz w:val="20"/>
          <w:szCs w:val="20"/>
        </w:rPr>
      </w:pPr>
      <w:r>
        <w:rPr>
          <w:rFonts w:ascii="Arial" w:hAnsi="Arial" w:cs="Arial"/>
          <w:sz w:val="20"/>
          <w:szCs w:val="20"/>
        </w:rPr>
        <w:t>Advised to take acetaminophen every 6 hours for 3 days and lots of water post transfusion</w:t>
      </w:r>
    </w:p>
    <w:p w:rsidR="00A44285" w:rsidRPr="00600FFF" w:rsidRDefault="00A44285" w:rsidP="00A44285">
      <w:pPr>
        <w:pStyle w:val="ListParagraph"/>
        <w:spacing w:after="0"/>
        <w:ind w:left="1440"/>
        <w:rPr>
          <w:rFonts w:ascii="Arial" w:hAnsi="Arial" w:cs="Arial"/>
          <w:sz w:val="20"/>
          <w:szCs w:val="20"/>
        </w:rPr>
      </w:pPr>
    </w:p>
    <w:p w:rsidR="00A44285" w:rsidRPr="00FD2549" w:rsidRDefault="00A44285" w:rsidP="00A44285">
      <w:pPr>
        <w:spacing w:after="0"/>
        <w:rPr>
          <w:rFonts w:ascii="Arial" w:hAnsi="Arial" w:cs="Arial"/>
          <w:b/>
          <w:sz w:val="20"/>
          <w:szCs w:val="20"/>
        </w:rPr>
      </w:pPr>
    </w:p>
    <w:p w:rsidR="00A44285" w:rsidRDefault="00A44285" w:rsidP="00A44285">
      <w:pPr>
        <w:spacing w:after="0"/>
        <w:rPr>
          <w:rFonts w:ascii="Arial" w:hAnsi="Arial" w:cs="Arial"/>
          <w:b/>
          <w:sz w:val="20"/>
          <w:szCs w:val="20"/>
        </w:rPr>
      </w:pPr>
      <w:r w:rsidRPr="002519D0">
        <w:rPr>
          <w:rFonts w:ascii="Arial" w:hAnsi="Arial" w:cs="Arial"/>
          <w:b/>
          <w:sz w:val="20"/>
          <w:szCs w:val="20"/>
        </w:rPr>
        <w:t>Investigation and Management:</w:t>
      </w:r>
    </w:p>
    <w:p w:rsidR="00A44285" w:rsidRPr="002519D0" w:rsidRDefault="00A44285" w:rsidP="00A44285">
      <w:pPr>
        <w:spacing w:after="0"/>
        <w:rPr>
          <w:rFonts w:ascii="Arial" w:hAnsi="Arial" w:cs="Arial"/>
          <w:b/>
          <w:sz w:val="20"/>
          <w:szCs w:val="20"/>
        </w:rPr>
      </w:pPr>
    </w:p>
    <w:p w:rsidR="00A44285" w:rsidRDefault="00A44285" w:rsidP="00A44285">
      <w:pPr>
        <w:pStyle w:val="ListParagraph"/>
        <w:numPr>
          <w:ilvl w:val="0"/>
          <w:numId w:val="3"/>
        </w:numPr>
        <w:spacing w:after="200" w:line="276" w:lineRule="auto"/>
      </w:pPr>
      <w:r>
        <w:rPr>
          <w:lang w:val="en-US"/>
        </w:rPr>
        <w:t>Post transfusion symptoms: Arriving home started to have severe headaches, neck stiffness, nausea and vomiting for a week post IVIG administration</w:t>
      </w:r>
      <w:r>
        <w:t xml:space="preserve"> </w:t>
      </w:r>
    </w:p>
    <w:p w:rsidR="00A44285" w:rsidRPr="00E67EDD" w:rsidRDefault="00A44285" w:rsidP="00A44285">
      <w:pPr>
        <w:rPr>
          <w:lang w:val="en-US"/>
        </w:rPr>
      </w:pPr>
      <w:r>
        <w:t>No specific measures were taken. The patient did not have lumbar puncture or CT scan of his head. Of note, his platelet count was stable around 60x10</w:t>
      </w:r>
      <w:r w:rsidRPr="00600FFF">
        <w:rPr>
          <w:vertAlign w:val="superscript"/>
        </w:rPr>
        <w:t>9</w:t>
      </w:r>
      <w:r>
        <w:t xml:space="preserve">/L at that </w:t>
      </w:r>
      <w:proofErr w:type="spellStart"/>
      <w:r>
        <w:t>ti</w:t>
      </w:r>
      <w:bookmarkStart w:id="0" w:name="_GoBack"/>
      <w:bookmarkEnd w:id="0"/>
      <w:proofErr w:type="spellEnd"/>
    </w:p>
    <w:sectPr w:rsidR="00A44285" w:rsidRPr="00E67E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423C7"/>
    <w:multiLevelType w:val="hybridMultilevel"/>
    <w:tmpl w:val="41F00E44"/>
    <w:lvl w:ilvl="0" w:tplc="4B5ECAA2">
      <w:start w:val="1"/>
      <w:numFmt w:val="decimal"/>
      <w:lvlText w:val="%1."/>
      <w:lvlJc w:val="left"/>
      <w:pPr>
        <w:ind w:left="515" w:hanging="515"/>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DED3A5A"/>
    <w:multiLevelType w:val="hybridMultilevel"/>
    <w:tmpl w:val="14682F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DF1428"/>
    <w:multiLevelType w:val="hybridMultilevel"/>
    <w:tmpl w:val="7D3609F0"/>
    <w:lvl w:ilvl="0" w:tplc="5B1C92B4">
      <w:start w:val="77"/>
      <w:numFmt w:val="bullet"/>
      <w:lvlText w:val="-"/>
      <w:lvlJc w:val="left"/>
      <w:pPr>
        <w:ind w:left="720" w:hanging="360"/>
      </w:pPr>
      <w:rPr>
        <w:rFonts w:ascii="Arial" w:eastAsiaTheme="minorHAnsi" w:hAnsi="Arial" w:cs="Arial"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8B23A6"/>
    <w:multiLevelType w:val="hybridMultilevel"/>
    <w:tmpl w:val="7382BF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E3"/>
    <w:rsid w:val="00033DE4"/>
    <w:rsid w:val="000C4459"/>
    <w:rsid w:val="00431A73"/>
    <w:rsid w:val="00653039"/>
    <w:rsid w:val="00A44285"/>
    <w:rsid w:val="00AD02AF"/>
    <w:rsid w:val="00BB06E3"/>
    <w:rsid w:val="00DD1112"/>
    <w:rsid w:val="00E67EDD"/>
    <w:rsid w:val="00EC2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1C68"/>
  <w15:chartTrackingRefBased/>
  <w15:docId w15:val="{23331F5F-F7E1-4DEC-9B21-47210E1A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Arsenault</dc:creator>
  <cp:keywords/>
  <dc:description/>
  <cp:lastModifiedBy>Joanne</cp:lastModifiedBy>
  <cp:revision>3</cp:revision>
  <dcterms:created xsi:type="dcterms:W3CDTF">2019-06-16T17:19:00Z</dcterms:created>
  <dcterms:modified xsi:type="dcterms:W3CDTF">2019-06-16T17:30:00Z</dcterms:modified>
</cp:coreProperties>
</file>